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03" w:rsidRDefault="00A867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6703" w:rsidRDefault="00A86703">
      <w:pPr>
        <w:pStyle w:val="ConsPlusNormal"/>
        <w:jc w:val="both"/>
        <w:outlineLvl w:val="0"/>
      </w:pPr>
    </w:p>
    <w:p w:rsidR="00A86703" w:rsidRDefault="00A86703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A86703" w:rsidRDefault="00A86703">
      <w:pPr>
        <w:pStyle w:val="ConsPlusNormal"/>
        <w:jc w:val="both"/>
      </w:pPr>
    </w:p>
    <w:p w:rsidR="00A86703" w:rsidRDefault="00A86703">
      <w:pPr>
        <w:pStyle w:val="ConsPlusTitle"/>
        <w:jc w:val="center"/>
      </w:pPr>
      <w:r>
        <w:t>ПОПРАВКИ К НК РФ: ОСОБЫЙ ПОРЯДОК УЧЕТА РАСХОДОВ</w:t>
      </w:r>
    </w:p>
    <w:p w:rsidR="00A86703" w:rsidRDefault="00A86703">
      <w:pPr>
        <w:pStyle w:val="ConsPlusTitle"/>
        <w:jc w:val="center"/>
      </w:pPr>
      <w:r>
        <w:t xml:space="preserve">ПРИ ПЕРЕХОДЕ С ЕНВД НА </w:t>
      </w:r>
      <w:proofErr w:type="gramStart"/>
      <w:r>
        <w:t>УСН И</w:t>
      </w:r>
      <w:proofErr w:type="gramEnd"/>
      <w:r>
        <w:t xml:space="preserve"> РАСШИРЕНИЕ ПСН</w:t>
      </w:r>
    </w:p>
    <w:p w:rsidR="00A86703" w:rsidRDefault="00A86703">
      <w:pPr>
        <w:pStyle w:val="ConsPlusNormal"/>
        <w:ind w:firstLine="540"/>
        <w:jc w:val="both"/>
      </w:pPr>
    </w:p>
    <w:p w:rsidR="00A86703" w:rsidRDefault="00A86703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"КонсультантПлюс".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24.11.2020.</w:t>
      </w:r>
    </w:p>
    <w:p w:rsidR="00A86703" w:rsidRDefault="00A86703">
      <w:pPr>
        <w:pStyle w:val="ConsPlusNormal"/>
        <w:ind w:firstLine="540"/>
        <w:jc w:val="both"/>
      </w:pPr>
    </w:p>
    <w:p w:rsidR="00A86703" w:rsidRDefault="00A86703">
      <w:pPr>
        <w:pStyle w:val="ConsPlusNormal"/>
        <w:ind w:firstLine="540"/>
        <w:jc w:val="both"/>
      </w:pPr>
      <w:r>
        <w:t>С 1 января действуют изменения НК РФ, которые направлены на облегчение перехода налогоплательщиков с ЕНВД на другие режимы. Поправки существенно изменяют правила применения и расчета платежей на ПСН, а также предусматривают переходные положения для плательщиков ЕНВД. Рассмотрим основные новшества подробнее.</w:t>
      </w:r>
    </w:p>
    <w:p w:rsidR="00A86703" w:rsidRDefault="00A86703">
      <w:pPr>
        <w:pStyle w:val="ConsPlusNormal"/>
        <w:ind w:firstLine="540"/>
        <w:jc w:val="both"/>
      </w:pPr>
    </w:p>
    <w:p w:rsidR="00A86703" w:rsidRDefault="00A86703">
      <w:pPr>
        <w:pStyle w:val="ConsPlusTitle"/>
        <w:ind w:firstLine="540"/>
        <w:jc w:val="both"/>
        <w:outlineLvl w:val="0"/>
      </w:pPr>
      <w:r>
        <w:t>Переход с ЕНВД</w:t>
      </w:r>
    </w:p>
    <w:p w:rsidR="00A86703" w:rsidRDefault="00A86703">
      <w:pPr>
        <w:pStyle w:val="ConsPlusNormal"/>
        <w:ind w:firstLine="540"/>
        <w:jc w:val="both"/>
      </w:pPr>
    </w:p>
    <w:p w:rsidR="00A86703" w:rsidRDefault="00A86703">
      <w:pPr>
        <w:pStyle w:val="ConsPlusNormal"/>
        <w:ind w:firstLine="540"/>
        <w:jc w:val="both"/>
        <w:outlineLvl w:val="1"/>
      </w:pPr>
      <w:r>
        <w:rPr>
          <w:b/>
        </w:rPr>
        <w:t>На любой режим</w:t>
      </w:r>
    </w:p>
    <w:p w:rsidR="00A86703" w:rsidRDefault="00A86703">
      <w:pPr>
        <w:pStyle w:val="ConsPlusNormal"/>
        <w:ind w:firstLine="540"/>
        <w:jc w:val="both"/>
      </w:pPr>
    </w:p>
    <w:p w:rsidR="00A86703" w:rsidRDefault="00A86703">
      <w:pPr>
        <w:pStyle w:val="ConsPlusNormal"/>
        <w:ind w:firstLine="540"/>
        <w:jc w:val="both"/>
      </w:pPr>
      <w:r>
        <w:t xml:space="preserve">ЕНВД за последний период </w:t>
      </w:r>
      <w:hyperlink r:id="rId5" w:history="1">
        <w:r>
          <w:rPr>
            <w:color w:val="0000FF"/>
          </w:rPr>
          <w:t>можно уменьшить</w:t>
        </w:r>
      </w:hyperlink>
      <w:r>
        <w:t xml:space="preserve"> на страховые взносы, которые организация или ИП заплатит уже после 31 декабря 2020 года в пользу работников, занятых во "вмененных" видах деятельности.</w:t>
      </w:r>
    </w:p>
    <w:p w:rsidR="00A86703" w:rsidRDefault="00A86703">
      <w:pPr>
        <w:pStyle w:val="ConsPlusNormal"/>
        <w:ind w:firstLine="540"/>
        <w:jc w:val="both"/>
      </w:pPr>
    </w:p>
    <w:p w:rsidR="00A86703" w:rsidRDefault="00A86703">
      <w:pPr>
        <w:pStyle w:val="ConsPlusNormal"/>
        <w:ind w:firstLine="540"/>
        <w:jc w:val="both"/>
        <w:outlineLvl w:val="1"/>
      </w:pPr>
      <w:r>
        <w:rPr>
          <w:b/>
        </w:rPr>
        <w:t>На УСН с объектом "доходы минус расходы"</w:t>
      </w:r>
    </w:p>
    <w:p w:rsidR="00A86703" w:rsidRDefault="00A86703">
      <w:pPr>
        <w:pStyle w:val="ConsPlusNormal"/>
        <w:ind w:firstLine="540"/>
        <w:jc w:val="both"/>
      </w:pPr>
    </w:p>
    <w:p w:rsidR="00A86703" w:rsidRDefault="00A86703">
      <w:pPr>
        <w:pStyle w:val="ConsPlusNormal"/>
        <w:ind w:firstLine="540"/>
        <w:jc w:val="both"/>
      </w:pPr>
      <w:r>
        <w:t xml:space="preserve">Стоимость сырья и материалов, которые налогоплательщик купил и оплатил в период "вмененки", а использовал уже после его окончания, </w:t>
      </w:r>
      <w:hyperlink r:id="rId6" w:history="1">
        <w:r>
          <w:rPr>
            <w:color w:val="0000FF"/>
          </w:rPr>
          <w:t>можно учесть</w:t>
        </w:r>
      </w:hyperlink>
      <w:r>
        <w:t xml:space="preserve"> при расчете налога на УСН по мере списания сырья и материалов в производство.</w:t>
      </w:r>
    </w:p>
    <w:p w:rsidR="00A86703" w:rsidRDefault="00A86703">
      <w:pPr>
        <w:pStyle w:val="ConsPlusNormal"/>
        <w:ind w:firstLine="540"/>
        <w:jc w:val="both"/>
      </w:pPr>
    </w:p>
    <w:p w:rsidR="00A86703" w:rsidRDefault="00A86703">
      <w:pPr>
        <w:pStyle w:val="ConsPlusNormal"/>
        <w:ind w:firstLine="540"/>
        <w:jc w:val="both"/>
        <w:outlineLvl w:val="1"/>
      </w:pPr>
      <w:r>
        <w:rPr>
          <w:b/>
        </w:rPr>
        <w:t>На общий режим</w:t>
      </w:r>
    </w:p>
    <w:p w:rsidR="00A86703" w:rsidRDefault="00A86703">
      <w:pPr>
        <w:pStyle w:val="ConsPlusNormal"/>
        <w:ind w:firstLine="540"/>
        <w:jc w:val="both"/>
      </w:pPr>
    </w:p>
    <w:p w:rsidR="00A86703" w:rsidRDefault="00A86703">
      <w:pPr>
        <w:pStyle w:val="ConsPlusNormal"/>
        <w:ind w:firstLine="540"/>
        <w:jc w:val="both"/>
      </w:pPr>
      <w:r>
        <w:t xml:space="preserve">Налогоплательщик после перехода на общий режим </w:t>
      </w:r>
      <w:hyperlink r:id="rId7" w:history="1">
        <w:r>
          <w:rPr>
            <w:color w:val="0000FF"/>
          </w:rPr>
          <w:t>сможет принять</w:t>
        </w:r>
      </w:hyperlink>
      <w:r>
        <w:t xml:space="preserve"> к вычету НДС:</w:t>
      </w:r>
    </w:p>
    <w:p w:rsidR="00A86703" w:rsidRDefault="00A86703">
      <w:pPr>
        <w:pStyle w:val="ConsPlusNormal"/>
        <w:spacing w:before="220"/>
        <w:ind w:firstLine="540"/>
        <w:jc w:val="both"/>
      </w:pPr>
      <w:proofErr w:type="gramStart"/>
      <w:r>
        <w:t>- предъявленный при приобретении товаров, работ, услуг, имущественных прав в период ЕНВД;</w:t>
      </w:r>
      <w:proofErr w:type="gramEnd"/>
    </w:p>
    <w:p w:rsidR="00A86703" w:rsidRDefault="00A86703">
      <w:pPr>
        <w:pStyle w:val="ConsPlusNormal"/>
        <w:spacing w:before="220"/>
        <w:ind w:firstLine="540"/>
        <w:jc w:val="both"/>
      </w:pPr>
      <w:r>
        <w:t xml:space="preserve">- фактически </w:t>
      </w:r>
      <w:proofErr w:type="gramStart"/>
      <w:r>
        <w:t>уплаченный</w:t>
      </w:r>
      <w:proofErr w:type="gramEnd"/>
      <w:r>
        <w:t xml:space="preserve"> при ввозе товаров на территорию РФ.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>Главное условие - приобретенное не должно быть использовано в деятельности на ЕНВД до 1 января 2021 года.</w:t>
      </w:r>
    </w:p>
    <w:p w:rsidR="00A86703" w:rsidRDefault="00A86703">
      <w:pPr>
        <w:pStyle w:val="ConsPlusNormal"/>
        <w:ind w:firstLine="540"/>
        <w:jc w:val="both"/>
      </w:pPr>
    </w:p>
    <w:p w:rsidR="00A86703" w:rsidRDefault="00A86703">
      <w:pPr>
        <w:pStyle w:val="ConsPlusTitle"/>
        <w:ind w:firstLine="540"/>
        <w:jc w:val="both"/>
        <w:outlineLvl w:val="0"/>
      </w:pPr>
      <w:r>
        <w:t>Патентная система</w:t>
      </w:r>
    </w:p>
    <w:p w:rsidR="00A86703" w:rsidRDefault="00A86703">
      <w:pPr>
        <w:pStyle w:val="ConsPlusNormal"/>
        <w:ind w:firstLine="540"/>
        <w:jc w:val="both"/>
      </w:pPr>
    </w:p>
    <w:p w:rsidR="00A86703" w:rsidRDefault="00A86703">
      <w:pPr>
        <w:pStyle w:val="ConsPlusNormal"/>
        <w:ind w:firstLine="540"/>
        <w:jc w:val="both"/>
        <w:outlineLvl w:val="1"/>
      </w:pPr>
      <w:r>
        <w:rPr>
          <w:b/>
        </w:rPr>
        <w:t>Виды деятельности</w:t>
      </w:r>
    </w:p>
    <w:p w:rsidR="00A86703" w:rsidRDefault="00A86703">
      <w:pPr>
        <w:pStyle w:val="ConsPlusNormal"/>
        <w:ind w:firstLine="540"/>
        <w:jc w:val="both"/>
      </w:pPr>
    </w:p>
    <w:p w:rsidR="00A86703" w:rsidRDefault="00A86703">
      <w:pPr>
        <w:pStyle w:val="ConsPlusNormal"/>
        <w:ind w:firstLine="540"/>
        <w:jc w:val="both"/>
      </w:pPr>
      <w:r>
        <w:t xml:space="preserve">Перечень видов деятельности, по которым ИП может получить патент, </w:t>
      </w:r>
      <w:hyperlink r:id="rId8" w:history="1">
        <w:proofErr w:type="gramStart"/>
        <w:r>
          <w:rPr>
            <w:color w:val="0000FF"/>
          </w:rPr>
          <w:t>расширен</w:t>
        </w:r>
        <w:proofErr w:type="gramEnd"/>
      </w:hyperlink>
      <w:r>
        <w:t xml:space="preserve"> в том числе за счет следующих видов деятельности: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>- услуг по уходу за домашними животными;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>- граверных работ;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>- ремонта игрушек и подобных изделий;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lastRenderedPageBreak/>
        <w:t>- ремонта спортивного и туристического оборудования;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>- изготовления и печатания визиток и пригласительных;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>- переплетных, брошюровочных, окантовочных и картонажных работ;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 xml:space="preserve">- деятельности стоянок </w:t>
      </w:r>
      <w:proofErr w:type="gramStart"/>
      <w:r>
        <w:t>для</w:t>
      </w:r>
      <w:proofErr w:type="gramEnd"/>
      <w:r>
        <w:t xml:space="preserve"> ТС.</w:t>
      </w:r>
    </w:p>
    <w:p w:rsidR="00A86703" w:rsidRDefault="00A8670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Скорректированы</w:t>
        </w:r>
      </w:hyperlink>
      <w:r>
        <w:t xml:space="preserve"> и положения о ранее разрешенных видах деятельности: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 xml:space="preserve">- для розничной торговли и услуг общепита площадь торгового зала или зала обслуживания посетителей должна быть </w:t>
      </w:r>
      <w:hyperlink r:id="rId10" w:history="1">
        <w:r>
          <w:rPr>
            <w:color w:val="0000FF"/>
          </w:rPr>
          <w:t>не более 150 кв. м</w:t>
        </w:r>
      </w:hyperlink>
      <w:r>
        <w:t xml:space="preserve"> (сейчас - </w:t>
      </w:r>
      <w:hyperlink r:id="rId11" w:history="1">
        <w:r>
          <w:rPr>
            <w:color w:val="0000FF"/>
          </w:rPr>
          <w:t>не более 50 кв. м</w:t>
        </w:r>
      </w:hyperlink>
      <w:r>
        <w:t>);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>- сдавать в аренду или наем можно не только свои, но и арендованные помещения;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>- к ремонту мебели добавили ремонт предметов домашнего обихода;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>- ремонт автомобилей дополнили услугами мойки и полирования.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 xml:space="preserve">Из НК РФ </w:t>
      </w:r>
      <w:hyperlink r:id="rId12" w:history="1">
        <w:r>
          <w:rPr>
            <w:color w:val="0000FF"/>
          </w:rPr>
          <w:t>исключают</w:t>
        </w:r>
      </w:hyperlink>
      <w:r>
        <w:t xml:space="preserve"> положение об ограничении потенциально возможного к получению годового дохода суммой </w:t>
      </w:r>
      <w:hyperlink r:id="rId13" w:history="1">
        <w:r>
          <w:rPr>
            <w:color w:val="0000FF"/>
          </w:rPr>
          <w:t xml:space="preserve">1 </w:t>
        </w:r>
        <w:proofErr w:type="gramStart"/>
        <w:r>
          <w:rPr>
            <w:color w:val="0000FF"/>
          </w:rPr>
          <w:t>млн</w:t>
        </w:r>
        <w:proofErr w:type="gramEnd"/>
        <w:r>
          <w:rPr>
            <w:color w:val="0000FF"/>
          </w:rPr>
          <w:t xml:space="preserve"> руб</w:t>
        </w:r>
      </w:hyperlink>
      <w:r>
        <w:t>.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 xml:space="preserve">Однако появляется и </w:t>
      </w:r>
      <w:hyperlink r:id="rId14" w:history="1">
        <w:r>
          <w:rPr>
            <w:color w:val="0000FF"/>
          </w:rPr>
          <w:t>ряд новых ограничений</w:t>
        </w:r>
      </w:hyperlink>
      <w:r>
        <w:t>. Так, ПСН нельзя применять: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>- по производству подакцизных товаров, а также добыче и реализации полезных ископаемых;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>- оптовой торговле и торговле по договорам поставки;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>- услугам по перевозке, если у ИП более 20 предназначенных для этого автотранспортных средств;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>- сделкам с ценными бумагами и производными фининструментами, а также по оказанию кредитных и иных финансовых услуг.</w:t>
      </w:r>
    </w:p>
    <w:p w:rsidR="00A86703" w:rsidRDefault="00A86703">
      <w:pPr>
        <w:pStyle w:val="ConsPlusNormal"/>
        <w:ind w:firstLine="540"/>
        <w:jc w:val="both"/>
      </w:pPr>
    </w:p>
    <w:p w:rsidR="00A86703" w:rsidRDefault="00A86703">
      <w:pPr>
        <w:pStyle w:val="ConsPlusNormal"/>
        <w:ind w:firstLine="540"/>
        <w:jc w:val="both"/>
        <w:outlineLvl w:val="1"/>
      </w:pPr>
      <w:r>
        <w:rPr>
          <w:b/>
        </w:rPr>
        <w:t>Расчет платежа</w:t>
      </w:r>
    </w:p>
    <w:p w:rsidR="00A86703" w:rsidRDefault="00A86703">
      <w:pPr>
        <w:pStyle w:val="ConsPlusNormal"/>
        <w:ind w:firstLine="540"/>
        <w:jc w:val="both"/>
      </w:pPr>
    </w:p>
    <w:p w:rsidR="00A86703" w:rsidRDefault="00A86703">
      <w:pPr>
        <w:pStyle w:val="ConsPlusNormal"/>
        <w:ind w:firstLine="540"/>
        <w:jc w:val="both"/>
      </w:pPr>
      <w:r>
        <w:t xml:space="preserve">Налог </w:t>
      </w:r>
      <w:hyperlink r:id="rId15" w:history="1">
        <w:r>
          <w:rPr>
            <w:color w:val="0000FF"/>
          </w:rPr>
          <w:t>можно уменьшить</w:t>
        </w:r>
      </w:hyperlink>
      <w:r>
        <w:t xml:space="preserve"> на уплаченные в пользу работников, занятых в сферах деятельности на ПСН, суммы: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>- пенсионных, медицинских взносов, взносов на ВНиМ, а также взносов на травматизм;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 xml:space="preserve">- расходов по выплате пособий по </w:t>
      </w:r>
      <w:proofErr w:type="gramStart"/>
      <w:r>
        <w:t>больничному</w:t>
      </w:r>
      <w:proofErr w:type="gramEnd"/>
      <w:r>
        <w:t xml:space="preserve"> (кроме случаев травматизма) за дни, которые оплачивает страхователь, в части, не покрытой страховыми выплатами;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 xml:space="preserve">- платежей по договорам добровольного личного страхования, которые заключены в пользу работников на случай временной нетрудоспособности, если сумма страховой выплаты не превышает пособия по </w:t>
      </w:r>
      <w:proofErr w:type="gramStart"/>
      <w:r>
        <w:t>больничному</w:t>
      </w:r>
      <w:proofErr w:type="gramEnd"/>
      <w:r>
        <w:t xml:space="preserve"> за три дня.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 xml:space="preserve">Размер вычета </w:t>
      </w:r>
      <w:hyperlink r:id="rId16" w:history="1">
        <w:r>
          <w:rPr>
            <w:color w:val="0000FF"/>
          </w:rPr>
          <w:t>ограничен</w:t>
        </w:r>
      </w:hyperlink>
      <w:r>
        <w:t xml:space="preserve"> - не более 50% суммы налога.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 xml:space="preserve">Если же у ИП нет работников, то он </w:t>
      </w:r>
      <w:hyperlink r:id="rId17" w:history="1">
        <w:r>
          <w:rPr>
            <w:color w:val="0000FF"/>
          </w:rPr>
          <w:t>может уменьшить</w:t>
        </w:r>
      </w:hyperlink>
      <w:r>
        <w:t xml:space="preserve"> налог на полную сумму пенсионных и медицинских взносов, уплаченных за себя.</w:t>
      </w:r>
    </w:p>
    <w:p w:rsidR="00A86703" w:rsidRDefault="00A86703">
      <w:pPr>
        <w:pStyle w:val="ConsPlusNormal"/>
        <w:spacing w:before="220"/>
        <w:ind w:firstLine="540"/>
        <w:jc w:val="both"/>
      </w:pPr>
      <w:r>
        <w:t xml:space="preserve">Эти правила аналогичны </w:t>
      </w:r>
      <w:hyperlink r:id="rId18" w:history="1">
        <w:r>
          <w:rPr>
            <w:color w:val="0000FF"/>
          </w:rPr>
          <w:t>порядку</w:t>
        </w:r>
      </w:hyperlink>
      <w:r>
        <w:t>, предусмотренному сейчас для плательщиков ЕНВД.</w:t>
      </w:r>
    </w:p>
    <w:p w:rsidR="00A86703" w:rsidRDefault="00A86703">
      <w:pPr>
        <w:pStyle w:val="ConsPlusNormal"/>
        <w:ind w:firstLine="540"/>
        <w:jc w:val="both"/>
      </w:pPr>
    </w:p>
    <w:p w:rsidR="00A86703" w:rsidRDefault="00A86703">
      <w:pPr>
        <w:pStyle w:val="ConsPlusNormal"/>
        <w:ind w:firstLine="540"/>
        <w:jc w:val="both"/>
      </w:pPr>
      <w:r>
        <w:rPr>
          <w:i/>
        </w:rPr>
        <w:t xml:space="preserve">Документ: Федеральный </w:t>
      </w:r>
      <w:hyperlink r:id="rId19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23.11.2020 N 373-ФЗ</w:t>
      </w:r>
    </w:p>
    <w:p w:rsidR="00A86703" w:rsidRDefault="00A86703">
      <w:pPr>
        <w:pStyle w:val="ConsPlusNormal"/>
        <w:jc w:val="both"/>
      </w:pPr>
    </w:p>
    <w:p w:rsidR="00A86703" w:rsidRDefault="00A86703">
      <w:pPr>
        <w:pStyle w:val="ConsPlusNormal"/>
        <w:jc w:val="both"/>
      </w:pPr>
    </w:p>
    <w:p w:rsidR="00A86703" w:rsidRDefault="00A867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A86703"/>
    <w:sectPr w:rsidR="003E78AE" w:rsidSect="00FE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grammar="clean"/>
  <w:defaultTabStop w:val="708"/>
  <w:characterSpacingControl w:val="doNotCompress"/>
  <w:compat/>
  <w:rsids>
    <w:rsidRoot w:val="00A86703"/>
    <w:rsid w:val="002F0E00"/>
    <w:rsid w:val="003E67FC"/>
    <w:rsid w:val="00A86703"/>
    <w:rsid w:val="00F3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C61FA1AC67B1BCB53C1FC48D5502222B0B21330D674CE381AEE11AFB1113FDBE270DE6A3ACF07EA094C217C5996696C7499CD94499F945Q3P7F" TargetMode="External"/><Relationship Id="rId13" Type="http://schemas.openxmlformats.org/officeDocument/2006/relationships/hyperlink" Target="consultantplus://offline/ref=26C61FA1AC67B1BCB53C1FC48D5502222B0B2C340C6E4CE381AEE11AFB1113FDBE270DEEAAAEF070F1CED2138CCE6C8AC15683DA5A99QFP9F" TargetMode="External"/><Relationship Id="rId18" Type="http://schemas.openxmlformats.org/officeDocument/2006/relationships/hyperlink" Target="consultantplus://offline/ref=26C61FA1AC67B1BCB53C1FC48D5502222B0B2C340C6E4CE381AEE11AFB1113FDBE270DE0AAA4F170F1CED2138CCE6C8AC15683DA5A99QFP9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6C61FA1AC67B1BCB53C1FC48D5502222B0B21330D674CE381AEE11AFB1113FDBE270DE6A3ACF17FA494C217C5996696C7499CD94499F945Q3P7F" TargetMode="External"/><Relationship Id="rId12" Type="http://schemas.openxmlformats.org/officeDocument/2006/relationships/hyperlink" Target="consultantplus://offline/ref=26C61FA1AC67B1BCB53C1FC48D5502222B0B21330D674CE381AEE11AFB1113FDBE270DE6A3ACF073AD94C217C5996696C7499CD94499F945Q3P7F" TargetMode="External"/><Relationship Id="rId17" Type="http://schemas.openxmlformats.org/officeDocument/2006/relationships/hyperlink" Target="consultantplus://offline/ref=26C61FA1AC67B1BCB53C1FC48D5502222B0B21330D674CE381AEE11AFB1113FDBE270DE6A3ACF179A594C217C5996696C7499CD94499F945Q3P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C61FA1AC67B1BCB53C1FC48D5502222B0B21330D674CE381AEE11AFB1113FDBE270DE6A3ACF17AAC94C217C5996696C7499CD94499F945Q3P7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C61FA1AC67B1BCB53C1FC48D5502222B0B21330D674CE381AEE11AFB1113FDBE270DE6A3ACF178AC94C217C5996696C7499CD94499F945Q3P7F" TargetMode="External"/><Relationship Id="rId11" Type="http://schemas.openxmlformats.org/officeDocument/2006/relationships/hyperlink" Target="consultantplus://offline/ref=26C61FA1AC67B1BCB53C1FC48D5502222B0B2C340C6E4CE381AEE11AFB1113FDBE270DE0A4A8F470F1CED2138CCE6C8AC15683DA5A99QFP9F" TargetMode="External"/><Relationship Id="rId5" Type="http://schemas.openxmlformats.org/officeDocument/2006/relationships/hyperlink" Target="consultantplus://offline/ref=26C61FA1AC67B1BCB53C1FC48D5502222B0B21330D674CE381AEE11AFB1113FDBE270DE6A3ACF17FA594C217C5996696C7499CD94499F945Q3P7F" TargetMode="External"/><Relationship Id="rId15" Type="http://schemas.openxmlformats.org/officeDocument/2006/relationships/hyperlink" Target="consultantplus://offline/ref=26C61FA1AC67B1BCB53C1FC48D5502222B0B21330D674CE381AEE11AFB1113FDBE270DE6A3ACF17AA194C217C5996696C7499CD94499F945Q3P7F" TargetMode="External"/><Relationship Id="rId10" Type="http://schemas.openxmlformats.org/officeDocument/2006/relationships/hyperlink" Target="consultantplus://offline/ref=26C61FA1AC67B1BCB53C1FC48D5502222B0B21330D674CE381AEE11AFB1113FDBE270DE6A3ACF073A694C217C5996696C7499CD94499F945Q3P7F" TargetMode="External"/><Relationship Id="rId19" Type="http://schemas.openxmlformats.org/officeDocument/2006/relationships/hyperlink" Target="consultantplus://offline/ref=26C61FA1AC67B1BCB53C1FC48D5502222B0B21330D674CE381AEE11AFB1113FDAC2755EAA1ABEE7AA481944683QCP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C61FA1AC67B1BCB53C1FC48D5502222B0B21330D674CE381AEE11AFB1113FDBE270DE6A3ACF07AA094C217C5996696C7499CD94499F945Q3P7F" TargetMode="External"/><Relationship Id="rId14" Type="http://schemas.openxmlformats.org/officeDocument/2006/relationships/hyperlink" Target="consultantplus://offline/ref=26C61FA1AC67B1BCB53C1FC48D5502222B0B21330D674CE381AEE11AFB1113FDBE270DE6A3ACF073A594C217C5996696C7499CD94499F945Q3P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2020-11-27T05:15:00Z</dcterms:created>
  <dcterms:modified xsi:type="dcterms:W3CDTF">2020-11-27T05:15:00Z</dcterms:modified>
</cp:coreProperties>
</file>